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Arvika kommunfullmäktige</w:t>
      </w:r>
    </w:p>
    <w:p>
      <w:pPr>
        <w:pStyle w:val="Heading1"/>
      </w:pPr>
      <w:r>
        <w:t xml:space="preserve">Förbättrat företagsklimat genom dialog och mark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Arvika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Arvika rankas 198 av 290 kommuner i Svenskt Näringslivs enkät 2024. Företag efterfrågar bättre dialog och tillgång till mark. Snabbare processer skapar jobb.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Arvika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inrätta ett årligt näringslivsforum med kommunledning.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ta fram en markstrategi för nya verksamhetsområden.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tidsgaranti för tillståndsärenden till företag.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företagsklimatet årligen och redovisa resultat.</w:t>
      </w:r>
    </w:p>
    <w:p>
      <w:pPr>
        <w:spacing w:before="360"/>
      </w:pPr>
    </w:p>
    <w:p>
      <w:r>
        <w:t xml:space="preserve">Arvika,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Arvika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2026-06-06T01:48:19.050Z</dcterms:created>
  <dcterms:modified xsi:type="dcterms:W3CDTF">2026-06-06T01:48:19.050Z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